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289</w:t>
      </w:r>
    </w:p>
    <w:p>
      <w:r>
        <w:t>Bundesgericht (BGE), 2003-06-12, FR</w:t>
      </w:r>
    </w:p>
    <w:p>
      <w:r>
        <w:rPr>
          <w:b/>
        </w:rPr>
        <w:t xml:space="preserve">Quelle: </w:t>
      </w:r>
      <w:r>
        <w:t>https://mcp.opencaselaw.ch/entscheid/bge_138 III 289</w:t>
      </w:r>
    </w:p>
    <w:p>
      <w:r>
        <w:t>FR: ATF 138 III 289</w:t>
      </w:r>
    </w:p>
    <w:p>
      <w:r>
        <w:t>IT: DTF 138 III 289</w:t>
      </w:r>
    </w:p>
    <w:p>
      <w:pPr>
        <w:pStyle w:val="Heading2"/>
      </w:pPr>
      <w:r>
        <w:t>Regeste</w:t>
      </w:r>
    </w:p>
    <w:p>
      <w:r>
        <w:t>Regeste Art. 125 Abs. 2 Ziff. 5 und Art. 129 Abs. 1 ZGB; Berücksichtigung des unbeweglichen Vermögens anlässlich der Abänderung des nachehelichen Unterhaltsbeitrages. Vermögen die geschiedenen Ehegatten die Lebenshaltung, die sie laut Scheidungsurteil für sich in Anspruch nehmen konnten, mit ihren Erwerbs- und Vermögenseinkünften nicht mehr aufrechtzuerhalten, so kann der Richter, der mit der Abänderung des nachehelichen Unterhaltsbeitrages befasst ist, den Rentenschuldner dazu verpflichten, zur weiteren Erfüllung seiner früher festgesetzten Unterhaltspflicht die Substanz seines Vermögens anzuzehren, auch wenn die Ehegatten dieses Vermögen vor ihrer Trennung nicht zur Bestreitung ihres Unterhalts gebraucht haben (E. 11).</w:t>
      </w:r>
    </w:p>
    <w:p>
      <w:pPr>
        <w:pStyle w:val="Heading2"/>
      </w:pPr>
      <w:r>
        <w:t>Erwägungen</w:t>
      </w:r>
    </w:p>
    <w:p>
      <w:r>
        <w:rPr>
          <w:b/>
        </w:rPr>
        <w:t>E. 11</w:t>
      </w:r>
    </w:p>
    <w:p>
      <w:r>
        <w:t>En lien avec le montant de 1'880 fr., provenant de sa fortune immobilière, que la cour cantonale lui a imputé à titre de revenu supplémentaire, le recourant se plaint de la violation de l' art. 129 CC . Il BGE 138 III 289 S. 292 soutient que, comme il a acquis la villa en cause par succession, on ne peut attendre de lui qu'il hypothèque cet immeuble. Le raisonnement de la cour revient à lui imposer de s'endetter, ce qu'on ne peut pas raisonnablement attendre de lui. Par ailleurs, vu que les parties savaient déjà au moment du divorce que ce bien immobilier lui reviendrait à terme, on ne peut, selon lui, en tenir compte lors de la modification du jugement de divorce.</w:t>
      </w:r>
    </w:p>
    <w:p>
      <w:r>
        <w:rPr>
          <w:b/>
        </w:rPr>
        <w:t>E. 11.1.1</w:t>
      </w:r>
    </w:p>
    <w:p>
      <w:r>
        <w:t>Selon l' art. 129 al. 1 CC , la modification de la contribution d'entretien après divorce suppose que des faits nouveaux importants et durables interviennent dans la situation financière d'une des parties,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131 IIII 189 consid. 2.7.4; arrêts 5A_93/2011 du 13 septembre 2011 consid. 6.1; 5A_845/2010 du 12 avril 2011 consid. 4.1). Une fois la condition du fait nouveau remplie, le juge doit alors fixer la nouvelle contribution d'entretien, sur la base des critères de l' art. 125 CC , en faisant usage de son pouvoir d'appréciation ( art. 4 CC ; ATF 127 III 136 consid. 3a; arrêts 5A_241/2010 du 9 novembre 2010 consid. 4; 5C.112/2005 du 4 août 2005 consid. 1, in FamPra.ch 2006 p. 149), après avoir actualisé tous les éléments pris en compte pour le calcul dans le jugement précédent. Pour que le juge puisse procéder à cette actualisation, il n'est pas nécessaire que la modification survenue dans ces autres éléments constitue également un fait nouveau, au sens de l' art. 129 al. 1 CC (cf. dans ce sens au sujet de la modification de la contribution d'entretien due à un enfant, ATF 137 III 604 consid. 4.1.2).</w:t>
      </w:r>
    </w:p>
    <w:p>
      <w:r>
        <w:rPr>
          <w:b/>
        </w:rPr>
        <w:t>E. 11.1.2</w:t>
      </w:r>
    </w:p>
    <w:p>
      <w:r>
        <w:t>Lorsqu'il fixe le montant et la durée de la contribution d'entretien après divorce, le juge doit tenir compte des critères énumérés non exhaustivement à l' art. 125 al. 2 CC , en particulier de la fortune des époux. Si les revenus (du travail et de la fortune) des époux suffisent à leur entretien, la substance de la fortune n'est normalement pas prise en considération ( ATF 137 III 102 consid. 4.2.1.1; arrêt 5A_507/2011 BGE 138 III 289 S. 293 du 31 janvier 2012 consid. 4.4). Mais, dans le cas contraire, rien ne s'oppose à ce que l'entretien soit assuré par la fortune, le cas échéant même par les biens propres, la loi elle-même plaçant formellement les revenus et la fortune sur un pied d'égalité ( art. 125 al. 2 ch. 5 CC ; ATF 134 III 581 consid. 3.3 et les références citées). Ainsi, la jurisprudence a déjà admis qu'on peut exiger du débirentier qui n'a pas d'activité lucrative et dont le revenu de la fortune ne permet pas de couvrir l'entretien du couple, d'entamer la substance de son imposante fortune pour assurer à son épouse la couverture du minimum vital élargi (arrêt 5A_14/2008 du 28 mai 2008 consid. 5, in FamPra.ch 2009 p. 206; cf. aussi arrêt 5P.472/2006 du 15 janvier 2007 consid. 3.2, in FamPra.ch 2007 p. 396).</w:t>
      </w:r>
    </w:p>
    <w:p>
      <w:r>
        <w:rPr>
          <w:b/>
        </w:rPr>
        <w:t>E. 11.1.3</w:t>
      </w:r>
    </w:p>
    <w:p>
      <w:r>
        <w:t>La même règle doit, a fortiori , valoir lors de la modification de la contribution d'entretien au sens de l' art. 129 CC . Dès lors, si les revenus du travail et de la fortune ne suffisent plus pour maintenir le train de vie auquel chaque époux pouvait prétendre selon le jugement de divorce, le juge peut imposer au débirentier d'utiliser la substance de sa fortune pour continuer à servir la contribution à laquelle il a précédemment été condamné, même si les époux n'utilisaient pas cette fortune pour leur entretien avant la séparation.</w:t>
      </w:r>
    </w:p>
    <w:p>
      <w:r>
        <w:rPr>
          <w:b/>
        </w:rPr>
        <w:t>E. 11.2</w:t>
      </w:r>
    </w:p>
    <w:p>
      <w:r>
        <w:t>En l'espèce, la cour n'a pas abusé de son pouvoir d'appréciation en jugeant qu'on peut raisonnablement imposer au recourant de mettre en gage son immeuble à hauteur de 200'000 fr. durant six ans pour verser ainsi une contribution d'entretien à l'intimée permettant à cette dernière de couvrir son minimum vital LP et ses charges strictement nécessaires. Même si, de la sorte, l'intimée bénéficie d'un bien dont le recourant n'était pas propriétaire au moment du divorce, cette solution se justifie en procédure de modification du jugement de divorce; la cour cantonale était en droit de tenir compte de cet élément de fortune nouvellement acquis pour compenser la diminution des revenus du recourant. En se contentant de soutenir de manière toute générale qu'on ne peut pas lui imposer de s'endetter, le recourant ne démontre pas que la cour cantonale a abusé de son pouvoir d'appréciation en estimant qu'en hypothéquant son bien à hauteur de 200'000 fr., il pouvait supporter les intérêts de cette dette ainsi que l'amortissement (usuel), jusqu'en 2014. Le recourant ne peut pas non plus être suivi lorsqu'il semble prétendre que, son droit futur à la succession étant déjà connu au moment du jugement de divorce, on ne pourrait pas en tenir compte dans la procédure en modification. BGE 138 III 289 S. 294 A l'époque du divorce, les revenus du recourant étaient plus importants et ses charges moindres qu'actuellement; le recourant était donc en mesure de verser une pension à l'intimée grâce à ses seuls revenus, sans qu'il y eût lieu de prendre sa fortune en considération. Le grief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